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FA" w:rsidRPr="004D0EAD" w:rsidRDefault="008A11FA" w:rsidP="008A11FA">
      <w:pPr>
        <w:jc w:val="both"/>
        <w:rPr>
          <w:rFonts w:ascii="Arial" w:hAnsi="Arial" w:cs="Arial"/>
          <w:b/>
          <w:color w:val="2A2B2C"/>
          <w:sz w:val="20"/>
          <w:szCs w:val="20"/>
          <w:shd w:val="clear" w:color="auto" w:fill="FFFFFF"/>
        </w:rPr>
      </w:pPr>
      <w:r w:rsidRPr="004D0EAD">
        <w:rPr>
          <w:rFonts w:ascii="Arial" w:hAnsi="Arial" w:cs="Arial"/>
          <w:b/>
          <w:color w:val="2A2B2C"/>
          <w:sz w:val="20"/>
          <w:szCs w:val="20"/>
          <w:shd w:val="clear" w:color="auto" w:fill="FFFFFF"/>
        </w:rPr>
        <w:t>En bref :</w:t>
      </w:r>
    </w:p>
    <w:p w:rsidR="008A11FA" w:rsidRDefault="008A11FA" w:rsidP="008A11FA">
      <w:pPr>
        <w:jc w:val="both"/>
        <w:rPr>
          <w:rFonts w:ascii="Arial" w:hAnsi="Arial" w:cs="Arial"/>
          <w:color w:val="2A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B2C"/>
          <w:sz w:val="20"/>
          <w:szCs w:val="20"/>
          <w:shd w:val="clear" w:color="auto" w:fill="FFFFFF"/>
        </w:rPr>
        <w:t xml:space="preserve">Par sa  décision n°2015-727 DC du 21 janvier 2016, le Conseil constitutionnel s'est prononcé sur la loi de modernisation de notre système de santé. </w:t>
      </w:r>
    </w:p>
    <w:p w:rsidR="008A11FA" w:rsidRDefault="008A11FA" w:rsidP="008A11FA">
      <w:pPr>
        <w:jc w:val="both"/>
        <w:rPr>
          <w:rFonts w:ascii="Arial" w:hAnsi="Arial" w:cs="Arial"/>
          <w:color w:val="2A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B2C"/>
          <w:sz w:val="20"/>
          <w:szCs w:val="20"/>
          <w:shd w:val="clear" w:color="auto" w:fill="FFFFFF"/>
        </w:rPr>
        <w:t>Il a ainsi censuré les dispositions rendant obligatoire, à compter du 1er janvier 2017, le dispositif du tiers payant pour les organismes d'assurance maladie complémentaires.</w:t>
      </w:r>
    </w:p>
    <w:p w:rsidR="008A11FA" w:rsidRDefault="008A11FA" w:rsidP="008A11FA">
      <w:pPr>
        <w:jc w:val="both"/>
        <w:rPr>
          <w:rFonts w:ascii="Arial" w:hAnsi="Arial" w:cs="Arial"/>
          <w:color w:val="2A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B2C"/>
          <w:sz w:val="20"/>
          <w:szCs w:val="20"/>
          <w:shd w:val="clear" w:color="auto" w:fill="FFFFFF"/>
        </w:rPr>
        <w:t>Les sages ont en effet considéré que le législateur n'avait pas suffisamment encadré ce dispositif et qu’il avait ainsi méconnu l'étendue de sa propre compétence</w:t>
      </w:r>
    </w:p>
    <w:p w:rsidR="008A11FA" w:rsidRDefault="008A11FA" w:rsidP="008A11FA">
      <w:pPr>
        <w:jc w:val="both"/>
        <w:rPr>
          <w:rFonts w:ascii="Arial" w:hAnsi="Arial" w:cs="Arial"/>
          <w:color w:val="2A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B2C"/>
          <w:sz w:val="20"/>
          <w:szCs w:val="20"/>
          <w:shd w:val="clear" w:color="auto" w:fill="FFFFFF"/>
        </w:rPr>
        <w:t xml:space="preserve">Le Conseil constitutionnel a également censuré la disposition habilitant le gouvernement à prendre par ordonnances des mesures permettant de définir des règles budgétaires et comptables qui régissent les relations entre les établissements publics parties à un même groupement hospitalier de territoire, dès lors que cette disposition omettait de fixer la date à laquelle le projet de loi de ratification devra être déposé devant le Parlement. </w:t>
      </w:r>
    </w:p>
    <w:p w:rsidR="008A11FA" w:rsidRDefault="008A11FA" w:rsidP="008A11FA">
      <w:pPr>
        <w:jc w:val="both"/>
        <w:rPr>
          <w:rFonts w:ascii="Arial" w:hAnsi="Arial" w:cs="Arial"/>
          <w:color w:val="2A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B2C"/>
          <w:sz w:val="20"/>
          <w:szCs w:val="20"/>
          <w:shd w:val="clear" w:color="auto" w:fill="FFFFFF"/>
        </w:rPr>
        <w:t>Les autres dispositions contestées ont été jugées conformes à la constitution.</w:t>
      </w:r>
    </w:p>
    <w:p w:rsidR="00E416AD" w:rsidRDefault="00E416AD">
      <w:bookmarkStart w:id="0" w:name="_GoBack"/>
      <w:bookmarkEnd w:id="0"/>
    </w:p>
    <w:sectPr w:rsidR="00E4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A"/>
    <w:rsid w:val="008A11FA"/>
    <w:rsid w:val="00E4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BA3B-744B-4D65-B397-5F62AAC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URPS INFIRMIERS MP</dc:creator>
  <cp:keywords/>
  <dc:description/>
  <cp:lastModifiedBy>URPS INFIRMIERS MP</cp:lastModifiedBy>
  <cp:revision>1</cp:revision>
  <dcterms:created xsi:type="dcterms:W3CDTF">2016-02-11T11:01:00Z</dcterms:created>
  <dcterms:modified xsi:type="dcterms:W3CDTF">2016-02-11T11:01:00Z</dcterms:modified>
</cp:coreProperties>
</file>